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9"/>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787822"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003A5FC5" w:rsidRPr="003A5FC5">
              <w:rPr>
                <w:rFonts w:ascii="Times New Roman" w:hAnsi="Times New Roman"/>
                <w:b w:val="0"/>
                <w:noProof/>
                <w:webHidden/>
                <w:sz w:val="28"/>
              </w:rPr>
              <w:fldChar w:fldCharType="end"/>
            </w:r>
          </w:hyperlink>
        </w:p>
        <w:p w:rsidR="003A5FC5" w:rsidRPr="003A5FC5" w:rsidRDefault="00EF1D35"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003A5FC5" w:rsidRPr="003A5FC5">
              <w:rPr>
                <w:rFonts w:ascii="Times New Roman" w:hAnsi="Times New Roman"/>
                <w:b w:val="0"/>
                <w:noProof/>
                <w:webHidden/>
                <w:sz w:val="28"/>
              </w:rPr>
              <w:fldChar w:fldCharType="end"/>
            </w:r>
          </w:hyperlink>
        </w:p>
        <w:p w:rsidR="003A5FC5" w:rsidRDefault="00EF1D35"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003A5FC5" w:rsidRPr="003A5FC5">
              <w:rPr>
                <w:rFonts w:ascii="Times New Roman" w:hAnsi="Times New Roman"/>
                <w:b w:val="0"/>
                <w:noProof/>
                <w:webHidden/>
                <w:sz w:val="28"/>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2" w:name="_Toc49482039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proofErr w:type="gramStart"/>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roofErr w:type="gramEnd"/>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xml:space="preserve">, в том числе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w:t>
      </w:r>
      <w:proofErr w:type="gramEnd"/>
      <w:r w:rsidRPr="00973342">
        <w:rPr>
          <w:rFonts w:eastAsia="Calibri"/>
          <w:sz w:val="26"/>
          <w:szCs w:val="26"/>
        </w:rPr>
        <w:t xml:space="preserve">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w:t>
      </w:r>
      <w:proofErr w:type="spellStart"/>
      <w:r w:rsidR="00AF2FC9">
        <w:rPr>
          <w:sz w:val="26"/>
          <w:szCs w:val="26"/>
        </w:rPr>
        <w:t>бакалавриата</w:t>
      </w:r>
      <w:proofErr w:type="spellEnd"/>
      <w:r w:rsidR="00AF2FC9">
        <w:rPr>
          <w:sz w:val="26"/>
          <w:szCs w:val="26"/>
        </w:rPr>
        <w:t xml:space="preserve"> и </w:t>
      </w:r>
      <w:proofErr w:type="spellStart"/>
      <w:r w:rsidR="00AF2FC9">
        <w:rPr>
          <w:sz w:val="26"/>
          <w:szCs w:val="26"/>
        </w:rPr>
        <w:t>специалитета</w:t>
      </w:r>
      <w:proofErr w:type="spellEnd"/>
      <w:r w:rsidR="00AF2FC9">
        <w:rPr>
          <w:sz w:val="26"/>
          <w:szCs w:val="26"/>
        </w:rPr>
        <w:t xml:space="preserve"> </w:t>
      </w:r>
      <w:r w:rsidRPr="00973342">
        <w:rPr>
          <w:rFonts w:eastAsia="Calibri"/>
          <w:sz w:val="26"/>
          <w:szCs w:val="26"/>
        </w:rPr>
        <w:t xml:space="preserve">в образовательные организации высшего образования по желанию также может проводиться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proofErr w:type="gramStart"/>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w:t>
      </w:r>
      <w:proofErr w:type="gramEnd"/>
      <w:r w:rsidRPr="0045264E">
        <w:rPr>
          <w:sz w:val="26"/>
          <w:szCs w:val="26"/>
        </w:rPr>
        <w:t xml:space="preserve"> </w:t>
      </w:r>
      <w:proofErr w:type="gramStart"/>
      <w:r w:rsidRPr="0045264E">
        <w:rPr>
          <w:sz w:val="26"/>
          <w:szCs w:val="26"/>
        </w:rPr>
        <w:t>России 03.02.2014, регистрационный  № 31205).</w:t>
      </w:r>
      <w:proofErr w:type="gramEnd"/>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 xml:space="preserve">не </w:t>
      </w:r>
      <w:proofErr w:type="gramStart"/>
      <w:r w:rsidRPr="00333DA2">
        <w:rPr>
          <w:sz w:val="26"/>
          <w:szCs w:val="26"/>
        </w:rPr>
        <w:t>позднее</w:t>
      </w:r>
      <w:proofErr w:type="gramEnd"/>
      <w:r w:rsidRPr="00333DA2">
        <w:rPr>
          <w:sz w:val="26"/>
          <w:szCs w:val="26"/>
        </w:rPr>
        <w:t xml:space="preserve">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333DA2">
        <w:rPr>
          <w:sz w:val="26"/>
          <w:szCs w:val="26"/>
        </w:rPr>
        <w:t>медико-социальной</w:t>
      </w:r>
      <w:proofErr w:type="gramEnd"/>
      <w:r w:rsidRPr="00333DA2">
        <w:rPr>
          <w:sz w:val="26"/>
          <w:szCs w:val="26"/>
        </w:rPr>
        <w:t xml:space="preserve"> экспертизы.  </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w:t>
      </w:r>
      <w:proofErr w:type="gramEnd"/>
      <w:r w:rsidRPr="00333DA2">
        <w:rPr>
          <w:sz w:val="26"/>
          <w:szCs w:val="26"/>
        </w:rPr>
        <w:t xml:space="preserve">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 xml:space="preserve">Регистрация лиц </w:t>
      </w:r>
      <w:proofErr w:type="gramStart"/>
      <w:r w:rsidRPr="00333DA2">
        <w:rPr>
          <w:sz w:val="26"/>
          <w:szCs w:val="26"/>
        </w:rPr>
        <w:t>со справкой об обучении для участия по их желанию в итоговом сочинении</w:t>
      </w:r>
      <w:proofErr w:type="gramEnd"/>
      <w:r w:rsidRPr="00333DA2">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333DA2">
        <w:rPr>
          <w:sz w:val="26"/>
          <w:szCs w:val="26"/>
        </w:rPr>
        <w:t>обучении по образцу</w:t>
      </w:r>
      <w:proofErr w:type="gramEnd"/>
      <w:r w:rsidRPr="00333DA2">
        <w:rPr>
          <w:sz w:val="26"/>
          <w:szCs w:val="26"/>
        </w:rPr>
        <w:t>,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roofErr w:type="gramEnd"/>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w:t>
      </w:r>
      <w:proofErr w:type="gramStart"/>
      <w:r w:rsidRPr="000F36EC">
        <w:rPr>
          <w:rFonts w:eastAsia="Calibri"/>
          <w:sz w:val="26"/>
          <w:szCs w:val="26"/>
        </w:rPr>
        <w:t>обучение по программам</w:t>
      </w:r>
      <w:proofErr w:type="gramEnd"/>
      <w:r w:rsidRPr="000F36EC">
        <w:rPr>
          <w:rFonts w:eastAsia="Calibri"/>
          <w:sz w:val="26"/>
          <w:szCs w:val="26"/>
        </w:rPr>
        <w:t xml:space="preserve"> </w:t>
      </w:r>
      <w:proofErr w:type="spellStart"/>
      <w:r w:rsidRPr="000F36EC">
        <w:rPr>
          <w:rFonts w:eastAsia="Calibri"/>
          <w:sz w:val="26"/>
          <w:szCs w:val="26"/>
        </w:rPr>
        <w:t>бакалавриата</w:t>
      </w:r>
      <w:proofErr w:type="spellEnd"/>
      <w:r w:rsidRPr="000F36EC">
        <w:rPr>
          <w:rFonts w:eastAsia="Calibri"/>
          <w:sz w:val="26"/>
          <w:szCs w:val="26"/>
        </w:rPr>
        <w:t xml:space="preserve"> и программам </w:t>
      </w:r>
      <w:proofErr w:type="spellStart"/>
      <w:r w:rsidRPr="000F36EC">
        <w:rPr>
          <w:rFonts w:eastAsia="Calibri"/>
          <w:sz w:val="26"/>
          <w:szCs w:val="26"/>
        </w:rPr>
        <w:t>специалитета</w:t>
      </w:r>
      <w:proofErr w:type="spellEnd"/>
      <w:r w:rsidRPr="000F36EC">
        <w:rPr>
          <w:rFonts w:eastAsia="Calibri"/>
          <w:sz w:val="26"/>
          <w:szCs w:val="26"/>
        </w:rPr>
        <w:t xml:space="preserve">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860F8">
        <w:rPr>
          <w:rFonts w:eastAsia="Calibri"/>
          <w:sz w:val="26"/>
          <w:szCs w:val="26"/>
        </w:rPr>
        <w:t>обучающихся</w:t>
      </w:r>
      <w:proofErr w:type="gramEnd"/>
      <w:r w:rsidRPr="003860F8">
        <w:rPr>
          <w:rFonts w:eastAsia="Calibri"/>
          <w:sz w:val="26"/>
          <w:szCs w:val="26"/>
        </w:rPr>
        <w:t xml:space="preserve">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B1116E" w:rsidRPr="003E1272" w:rsidRDefault="00B1116E"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xml:space="preserve">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w:t>
      </w:r>
      <w:proofErr w:type="gramEnd"/>
      <w:r w:rsidRPr="003E1272">
        <w:rPr>
          <w:rFonts w:eastAsia="Calibri"/>
          <w:sz w:val="26"/>
          <w:szCs w:val="26"/>
        </w:rPr>
        <w:t xml:space="preserve">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При приеме на обучение по программам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w:t>
      </w:r>
      <w:proofErr w:type="gramStart"/>
      <w:r w:rsidRPr="003E1272">
        <w:rPr>
          <w:rFonts w:eastAsia="Calibri"/>
          <w:sz w:val="26"/>
          <w:szCs w:val="26"/>
        </w:rPr>
        <w:t>поступающему</w:t>
      </w:r>
      <w:proofErr w:type="gramEnd"/>
      <w:r w:rsidRPr="003E1272">
        <w:rPr>
          <w:rFonts w:eastAsia="Calibri"/>
          <w:sz w:val="26"/>
          <w:szCs w:val="26"/>
        </w:rPr>
        <w:t xml:space="preserve">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индивидуальных достижений, учитываемых при приеме на </w:t>
      </w:r>
      <w:proofErr w:type="gramStart"/>
      <w:r w:rsidRPr="003E1272">
        <w:rPr>
          <w:rFonts w:eastAsia="Calibri"/>
          <w:sz w:val="26"/>
          <w:szCs w:val="26"/>
        </w:rPr>
        <w:t>обучение по программам</w:t>
      </w:r>
      <w:proofErr w:type="gramEnd"/>
      <w:r w:rsidRPr="003E1272">
        <w:rPr>
          <w:rFonts w:eastAsia="Calibri"/>
          <w:sz w:val="26"/>
          <w:szCs w:val="26"/>
        </w:rPr>
        <w:t xml:space="preserve">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w:t>
      </w:r>
      <w:proofErr w:type="gramStart"/>
      <w:r w:rsidRPr="000F36EC">
        <w:rPr>
          <w:sz w:val="26"/>
          <w:szCs w:val="26"/>
        </w:rPr>
        <w:t xml:space="preserve">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Pr="000F36EC">
        <w:rPr>
          <w:sz w:val="26"/>
          <w:szCs w:val="26"/>
        </w:rPr>
        <w:t xml:space="preserve">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proofErr w:type="gramStart"/>
      <w:r w:rsidR="00C24C7C" w:rsidRPr="00A3349A">
        <w:rPr>
          <w:rFonts w:eastAsia="Calibri"/>
          <w:sz w:val="26"/>
          <w:szCs w:val="26"/>
        </w:rPr>
        <w:t>.</w:t>
      </w:r>
      <w:r w:rsidRPr="000F36EC">
        <w:rPr>
          <w:sz w:val="26"/>
          <w:szCs w:val="26"/>
        </w:rPr>
        <w:t>З</w:t>
      </w:r>
      <w:proofErr w:type="gramEnd"/>
      <w:r w:rsidRPr="000F36EC">
        <w:rPr>
          <w:sz w:val="26"/>
          <w:szCs w:val="26"/>
        </w:rPr>
        <w:t xml:space="preserve">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proofErr w:type="gramStart"/>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roofErr w:type="gramEnd"/>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proofErr w:type="gramStart"/>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proofErr w:type="gramStart"/>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5A3D54">
        <w:rPr>
          <w:rFonts w:eastAsia="Calibri"/>
          <w:sz w:val="26"/>
          <w:szCs w:val="26"/>
        </w:rPr>
        <w:t>pt</w:t>
      </w:r>
      <w:proofErr w:type="spellEnd"/>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w:t>
      </w:r>
      <w:proofErr w:type="spellStart"/>
      <w:r w:rsidRPr="00691B77">
        <w:rPr>
          <w:rFonts w:eastAsia="Calibri"/>
          <w:sz w:val="26"/>
          <w:szCs w:val="26"/>
        </w:rPr>
        <w:t>флеш</w:t>
      </w:r>
      <w:proofErr w:type="spellEnd"/>
      <w:r w:rsidRPr="00691B77">
        <w:rPr>
          <w:rFonts w:eastAsia="Calibri"/>
          <w:sz w:val="26"/>
          <w:szCs w:val="26"/>
        </w:rPr>
        <w:t xml:space="preserve">-носитель.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w:t>
      </w:r>
      <w:proofErr w:type="spellStart"/>
      <w:r w:rsidRPr="00667BFB">
        <w:rPr>
          <w:sz w:val="26"/>
          <w:szCs w:val="26"/>
        </w:rPr>
        <w:t>надпредметный</w:t>
      </w:r>
      <w:proofErr w:type="spellEnd"/>
      <w:r w:rsidRPr="00667BFB">
        <w:rPr>
          <w:sz w:val="26"/>
          <w:szCs w:val="26"/>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667BFB">
        <w:rPr>
          <w:sz w:val="26"/>
          <w:szCs w:val="26"/>
        </w:rPr>
        <w:t>литературоцентричным</w:t>
      </w:r>
      <w:proofErr w:type="spellEnd"/>
      <w:r w:rsidRPr="00667BFB">
        <w:rPr>
          <w:sz w:val="26"/>
          <w:szCs w:val="26"/>
        </w:rPr>
        <w:t xml:space="preserve">,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proofErr w:type="gramStart"/>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roofErr w:type="gramEnd"/>
          </w:p>
          <w:p w:rsidR="0049023D" w:rsidRPr="007E6BCE" w:rsidRDefault="00816A43" w:rsidP="00920D09">
            <w:pPr>
              <w:spacing w:line="276" w:lineRule="auto"/>
              <w:ind w:firstLine="480"/>
              <w:jc w:val="both"/>
              <w:rPr>
                <w:sz w:val="26"/>
                <w:szCs w:val="26"/>
              </w:rPr>
            </w:pPr>
            <w:r w:rsidRPr="00816A43">
              <w:rPr>
                <w:sz w:val="26"/>
                <w:szCs w:val="26"/>
              </w:rPr>
              <w:t xml:space="preserve">Понятия «верность» и «измена» оказываются в центре сюжетов многих произведений разных эпох и характеризуют поступки героев в ситуации нравственного </w:t>
            </w:r>
            <w:proofErr w:type="gramStart"/>
            <w:r w:rsidRPr="00816A43">
              <w:rPr>
                <w:sz w:val="26"/>
                <w:szCs w:val="26"/>
              </w:rPr>
              <w:t>выбора</w:t>
            </w:r>
            <w:proofErr w:type="gramEnd"/>
            <w:r w:rsidRPr="00816A43">
              <w:rPr>
                <w:sz w:val="26"/>
                <w:szCs w:val="26"/>
              </w:rPr>
              <w:t xml:space="preserve">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proofErr w:type="gramStart"/>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roofErr w:type="gramEnd"/>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надпредметному</w:t>
      </w:r>
      <w:proofErr w:type="spellEnd"/>
      <w:r w:rsidRPr="00A81D0F">
        <w:rPr>
          <w:sz w:val="26"/>
          <w:szCs w:val="26"/>
        </w:rPr>
        <w:t xml:space="preserve">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литературоцентричному</w:t>
      </w:r>
      <w:proofErr w:type="spellEnd"/>
      <w:r w:rsidRPr="00A81D0F">
        <w:rPr>
          <w:sz w:val="26"/>
          <w:szCs w:val="26"/>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proofErr w:type="gramStart"/>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учебного года:</w:t>
      </w:r>
      <w:proofErr w:type="gramEnd"/>
      <w:r w:rsidRPr="00A0666E">
        <w:rPr>
          <w:sz w:val="26"/>
          <w:szCs w:val="26"/>
        </w:rPr>
        <w:t xml:space="preserve"> </w:t>
      </w:r>
      <w:proofErr w:type="gramStart"/>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roofErr w:type="gramEnd"/>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w:t>
      </w:r>
      <w:proofErr w:type="gramStart"/>
      <w:r w:rsidRPr="00816A43">
        <w:rPr>
          <w:sz w:val="26"/>
          <w:szCs w:val="26"/>
        </w:rPr>
        <w:t>побеждённого</w:t>
      </w:r>
      <w:proofErr w:type="gramEnd"/>
      <w:r w:rsidRPr="00816A43">
        <w:rPr>
          <w:sz w:val="26"/>
          <w:szCs w:val="26"/>
        </w:rPr>
        <w:t xml:space="preserve">?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w:t>
      </w:r>
      <w:proofErr w:type="gramStart"/>
      <w:r w:rsidRPr="00816A43">
        <w:rPr>
          <w:sz w:val="26"/>
          <w:szCs w:val="26"/>
        </w:rPr>
        <w:t>ложной</w:t>
      </w:r>
      <w:proofErr w:type="gramEnd"/>
      <w:r w:rsidRPr="00816A43">
        <w:rPr>
          <w:sz w:val="26"/>
          <w:szCs w:val="26"/>
        </w:rPr>
        <w:t xml:space="preserve">?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 xml:space="preserve">Тексты итогового изложения отбираются из произведений отечественных авторов (не из хрестоматий и учебников). Текст для </w:t>
      </w:r>
      <w:proofErr w:type="gramStart"/>
      <w:r w:rsidRPr="00920D09">
        <w:rPr>
          <w:rFonts w:eastAsia="Calibri"/>
          <w:bCs/>
          <w:sz w:val="26"/>
          <w:szCs w:val="26"/>
        </w:rPr>
        <w:t>итогового</w:t>
      </w:r>
      <w:proofErr w:type="gramEnd"/>
      <w:r w:rsidRPr="00920D09">
        <w:rPr>
          <w:rFonts w:eastAsia="Calibri"/>
          <w:bCs/>
          <w:sz w:val="26"/>
          <w:szCs w:val="26"/>
        </w:rPr>
        <w:t xml:space="preserve">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w:t>
      </w:r>
      <w:proofErr w:type="gramStart"/>
      <w:r w:rsidRPr="007E6BCE">
        <w:rPr>
          <w:sz w:val="26"/>
          <w:szCs w:val="26"/>
        </w:rPr>
        <w:t xml:space="preserve">Лёжа на животе, Гусаров наблюдал за жизнью дружного собачьего семейства. </w:t>
      </w:r>
      <w:proofErr w:type="gramEnd"/>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в памяти </w:t>
      </w:r>
      <w:proofErr w:type="spellStart"/>
      <w:r w:rsidRPr="007E6BCE">
        <w:rPr>
          <w:sz w:val="26"/>
          <w:szCs w:val="26"/>
        </w:rPr>
        <w:t>Гусарова</w:t>
      </w:r>
      <w:proofErr w:type="spellEnd"/>
      <w:r w:rsidRPr="007E6BCE">
        <w:rPr>
          <w:sz w:val="26"/>
          <w:szCs w:val="26"/>
        </w:rPr>
        <w:t xml:space="preserve">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proofErr w:type="gramStart"/>
            <w:r w:rsidRPr="00D47B10">
              <w:rPr>
                <w:b/>
                <w:sz w:val="26"/>
                <w:szCs w:val="26"/>
              </w:rPr>
              <w:t>сочинении</w:t>
            </w:r>
            <w:proofErr w:type="gramEnd"/>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72D8173F" wp14:editId="6700C6FE">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23DEE8E6" wp14:editId="3999853D">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51994C27" wp14:editId="010B4997">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2912DC08" wp14:editId="538FDEE5">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5166E12D" wp14:editId="72D965BE">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19212788" wp14:editId="27F6497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2E6D8239" wp14:editId="3A298153">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655324F7" wp14:editId="41BE1370">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33FC8542" wp14:editId="7990F915">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9B09F1A" wp14:editId="17D487A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F65F2E1" wp14:editId="15238552">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0EBE5DA1" wp14:editId="381A9DDD">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026FFD9" wp14:editId="23321C7F">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47C06EE" wp14:editId="3522CDA6">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13383672" wp14:editId="6E8D5E6C">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06C391D" wp14:editId="12D7EC53">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0091D704" wp14:editId="75F26408">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proofErr w:type="gramStart"/>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roofErr w:type="gramEnd"/>
    </w:p>
    <w:p w:rsidR="0034038C" w:rsidRPr="0085563E" w:rsidRDefault="0034038C" w:rsidP="0034038C">
      <w:pPr>
        <w:spacing w:line="276" w:lineRule="auto"/>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roofErr w:type="gramEnd"/>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35" w:rsidRDefault="00EF1D35" w:rsidP="005C21EF">
      <w:r>
        <w:separator/>
      </w:r>
    </w:p>
  </w:endnote>
  <w:endnote w:type="continuationSeparator" w:id="0">
    <w:p w:rsidR="00EF1D35" w:rsidRDefault="00EF1D35"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78314A" w:rsidRDefault="0078314A">
        <w:pPr>
          <w:pStyle w:val="af6"/>
          <w:jc w:val="right"/>
        </w:pPr>
        <w:r>
          <w:fldChar w:fldCharType="begin"/>
        </w:r>
        <w:r>
          <w:instrText>PAGE   \* MERGEFORMAT</w:instrText>
        </w:r>
        <w:r>
          <w:fldChar w:fldCharType="separate"/>
        </w:r>
        <w:r w:rsidR="00D65660">
          <w:rPr>
            <w:noProof/>
          </w:rPr>
          <w:t>7</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35" w:rsidRDefault="00EF1D35" w:rsidP="005C21EF">
      <w:r>
        <w:separator/>
      </w:r>
    </w:p>
  </w:footnote>
  <w:footnote w:type="continuationSeparator" w:id="0">
    <w:p w:rsidR="00EF1D35" w:rsidRDefault="00EF1D35"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9054E"/>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63DDC"/>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65660"/>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1D35"/>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836D-E58D-4F4F-87C9-92BEA8C6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User</cp:lastModifiedBy>
  <cp:revision>2</cp:revision>
  <cp:lastPrinted>2016-10-07T13:36:00Z</cp:lastPrinted>
  <dcterms:created xsi:type="dcterms:W3CDTF">2017-10-24T09:49:00Z</dcterms:created>
  <dcterms:modified xsi:type="dcterms:W3CDTF">2017-10-24T09:49:00Z</dcterms:modified>
</cp:coreProperties>
</file>